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7F0" w:rsidRPr="00C610D7" w:rsidRDefault="00D417F0" w:rsidP="00D417F0">
      <w:pPr>
        <w:wordWrap w:val="0"/>
        <w:spacing w:line="240" w:lineRule="atLeast"/>
        <w:jc w:val="right"/>
        <w:rPr>
          <w:b/>
          <w:sz w:val="20"/>
          <w:lang w:eastAsia="zh-HK"/>
        </w:rPr>
      </w:pPr>
      <w:r>
        <w:rPr>
          <w:rFonts w:hint="eastAsia"/>
          <w:b/>
          <w:sz w:val="20"/>
          <w:lang w:eastAsia="zh-HK"/>
        </w:rPr>
        <w:t>Appendix 1</w:t>
      </w:r>
    </w:p>
    <w:p w:rsidR="00D417F0" w:rsidRDefault="00D417F0" w:rsidP="00D417F0">
      <w:pPr>
        <w:spacing w:line="240" w:lineRule="atLeast"/>
        <w:jc w:val="center"/>
        <w:rPr>
          <w:b/>
          <w:sz w:val="28"/>
          <w:szCs w:val="28"/>
          <w:lang w:eastAsia="zh-HK"/>
        </w:rPr>
      </w:pPr>
      <w:r>
        <w:rPr>
          <w:b/>
          <w:sz w:val="28"/>
          <w:szCs w:val="28"/>
          <w:lang w:eastAsia="zh-HK"/>
        </w:rPr>
        <w:t>T</w:t>
      </w:r>
      <w:r>
        <w:rPr>
          <w:rFonts w:hint="eastAsia"/>
          <w:b/>
          <w:sz w:val="28"/>
          <w:szCs w:val="28"/>
          <w:lang w:eastAsia="zh-HK"/>
        </w:rPr>
        <w:t xml:space="preserve">rial Scheme for </w:t>
      </w:r>
      <w:r>
        <w:rPr>
          <w:b/>
          <w:sz w:val="28"/>
          <w:szCs w:val="28"/>
          <w:lang w:eastAsia="zh-HK"/>
        </w:rPr>
        <w:t xml:space="preserve">Expedited Approval of  </w:t>
      </w:r>
    </w:p>
    <w:p w:rsidR="00D417F0" w:rsidRDefault="00D417F0" w:rsidP="00D417F0">
      <w:pPr>
        <w:spacing w:line="240" w:lineRule="atLeast"/>
        <w:jc w:val="center"/>
        <w:rPr>
          <w:b/>
          <w:sz w:val="28"/>
          <w:szCs w:val="28"/>
          <w:lang w:eastAsia="zh-HK"/>
        </w:rPr>
      </w:pPr>
      <w:r>
        <w:rPr>
          <w:b/>
          <w:sz w:val="28"/>
          <w:szCs w:val="28"/>
          <w:lang w:eastAsia="zh-HK"/>
        </w:rPr>
        <w:t xml:space="preserve">Class II/III/IV </w:t>
      </w:r>
      <w:r w:rsidR="009575AA">
        <w:rPr>
          <w:b/>
          <w:sz w:val="28"/>
          <w:szCs w:val="28"/>
          <w:lang w:eastAsia="zh-HK"/>
        </w:rPr>
        <w:t xml:space="preserve">General </w:t>
      </w:r>
      <w:r>
        <w:rPr>
          <w:b/>
          <w:sz w:val="28"/>
          <w:szCs w:val="28"/>
          <w:lang w:eastAsia="zh-HK"/>
        </w:rPr>
        <w:t>Medical Device Listing Applications</w:t>
      </w:r>
    </w:p>
    <w:p w:rsidR="00D417F0" w:rsidRPr="00610EFF" w:rsidRDefault="00D417F0" w:rsidP="00D417F0">
      <w:pPr>
        <w:spacing w:line="240" w:lineRule="atLeast"/>
        <w:jc w:val="center"/>
        <w:rPr>
          <w:b/>
          <w:sz w:val="28"/>
          <w:szCs w:val="28"/>
          <w:lang w:eastAsia="zh-HK"/>
        </w:rPr>
      </w:pPr>
      <w:r w:rsidRPr="00610EFF">
        <w:rPr>
          <w:b/>
          <w:sz w:val="28"/>
          <w:szCs w:val="28"/>
          <w:lang w:eastAsia="zh-HK"/>
        </w:rPr>
        <w:t>DECLARATION</w:t>
      </w:r>
      <w:r>
        <w:rPr>
          <w:b/>
          <w:sz w:val="28"/>
          <w:szCs w:val="28"/>
          <w:lang w:eastAsia="zh-HK"/>
        </w:rPr>
        <w:t xml:space="preserve"> </w:t>
      </w:r>
    </w:p>
    <w:p w:rsidR="00D417F0" w:rsidRPr="00610EFF" w:rsidRDefault="00D417F0" w:rsidP="00D417F0">
      <w:pPr>
        <w:spacing w:line="240" w:lineRule="atLeast"/>
        <w:jc w:val="center"/>
        <w:rPr>
          <w:b/>
          <w:sz w:val="28"/>
          <w:szCs w:val="28"/>
          <w:lang w:eastAsia="zh-HK"/>
        </w:rPr>
      </w:pPr>
    </w:p>
    <w:p w:rsidR="00D417F0" w:rsidRPr="00D417F0" w:rsidRDefault="00D417F0" w:rsidP="00D417F0">
      <w:pPr>
        <w:pStyle w:val="a4"/>
        <w:numPr>
          <w:ilvl w:val="0"/>
          <w:numId w:val="1"/>
        </w:numPr>
        <w:spacing w:line="240" w:lineRule="atLeast"/>
        <w:ind w:leftChars="0"/>
        <w:rPr>
          <w:sz w:val="22"/>
          <w:szCs w:val="22"/>
          <w:lang w:eastAsia="zh-TW"/>
        </w:rPr>
      </w:pPr>
      <w:r w:rsidRPr="00D417F0">
        <w:rPr>
          <w:sz w:val="22"/>
          <w:szCs w:val="22"/>
          <w:lang w:eastAsia="zh-TW"/>
        </w:rPr>
        <w:t xml:space="preserve">We, </w:t>
      </w:r>
      <w:r w:rsidRPr="00D417F0">
        <w:rPr>
          <w:rFonts w:ascii="Arial" w:hAnsi="Arial" w:cs="Arial"/>
          <w:sz w:val="22"/>
          <w:szCs w:val="22"/>
          <w:u w:val="single"/>
          <w:lang w:eastAsia="zh-TW"/>
        </w:rPr>
        <w:fldChar w:fldCharType="begin">
          <w:ffData>
            <w:name w:val="Text1"/>
            <w:enabled/>
            <w:calcOnExit w:val="0"/>
            <w:textInput/>
          </w:ffData>
        </w:fldChar>
      </w:r>
      <w:r w:rsidRPr="00D417F0">
        <w:rPr>
          <w:rFonts w:ascii="Arial" w:hAnsi="Arial" w:cs="Arial"/>
          <w:sz w:val="22"/>
          <w:szCs w:val="22"/>
          <w:u w:val="single"/>
          <w:lang w:eastAsia="zh-TW"/>
        </w:rPr>
        <w:instrText xml:space="preserve"> FORMTEXT </w:instrText>
      </w:r>
      <w:r w:rsidRPr="00D417F0">
        <w:rPr>
          <w:rFonts w:ascii="Arial" w:hAnsi="Arial" w:cs="Arial"/>
          <w:sz w:val="22"/>
          <w:szCs w:val="22"/>
          <w:u w:val="single"/>
          <w:lang w:eastAsia="zh-TW"/>
        </w:rPr>
      </w:r>
      <w:r w:rsidRPr="00D417F0">
        <w:rPr>
          <w:rFonts w:ascii="Arial" w:hAnsi="Arial" w:cs="Arial"/>
          <w:sz w:val="22"/>
          <w:szCs w:val="22"/>
          <w:u w:val="single"/>
          <w:lang w:eastAsia="zh-TW"/>
        </w:rPr>
        <w:fldChar w:fldCharType="separate"/>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D417F0">
        <w:rPr>
          <w:rFonts w:ascii="Arial" w:hAnsi="Arial" w:cs="Arial"/>
          <w:sz w:val="22"/>
          <w:szCs w:val="22"/>
          <w:u w:val="single"/>
          <w:lang w:eastAsia="zh-TW"/>
        </w:rPr>
        <w:fldChar w:fldCharType="end"/>
      </w:r>
      <w:r w:rsidRPr="00D417F0">
        <w:rPr>
          <w:rFonts w:ascii="Arial" w:hAnsi="Arial" w:cs="Arial"/>
          <w:sz w:val="22"/>
          <w:szCs w:val="22"/>
          <w:u w:val="single"/>
          <w:lang w:eastAsia="zh-TW"/>
        </w:rPr>
        <w:fldChar w:fldCharType="begin">
          <w:ffData>
            <w:name w:val="Text1"/>
            <w:enabled/>
            <w:calcOnExit w:val="0"/>
            <w:textInput/>
          </w:ffData>
        </w:fldChar>
      </w:r>
      <w:r w:rsidRPr="00D417F0">
        <w:rPr>
          <w:rFonts w:ascii="Arial" w:hAnsi="Arial" w:cs="Arial"/>
          <w:sz w:val="22"/>
          <w:szCs w:val="22"/>
          <w:u w:val="single"/>
          <w:lang w:eastAsia="zh-TW"/>
        </w:rPr>
        <w:instrText xml:space="preserve"> FORMTEXT </w:instrText>
      </w:r>
      <w:r w:rsidRPr="00D417F0">
        <w:rPr>
          <w:rFonts w:ascii="Arial" w:hAnsi="Arial" w:cs="Arial"/>
          <w:sz w:val="22"/>
          <w:szCs w:val="22"/>
          <w:u w:val="single"/>
          <w:lang w:eastAsia="zh-TW"/>
        </w:rPr>
      </w:r>
      <w:r w:rsidRPr="00D417F0">
        <w:rPr>
          <w:rFonts w:ascii="Arial" w:hAnsi="Arial" w:cs="Arial"/>
          <w:sz w:val="22"/>
          <w:szCs w:val="22"/>
          <w:u w:val="single"/>
          <w:lang w:eastAsia="zh-TW"/>
        </w:rPr>
        <w:fldChar w:fldCharType="separate"/>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D417F0">
        <w:rPr>
          <w:rFonts w:ascii="Arial" w:hAnsi="Arial" w:cs="Arial"/>
          <w:sz w:val="22"/>
          <w:szCs w:val="22"/>
          <w:u w:val="single"/>
          <w:lang w:eastAsia="zh-TW"/>
        </w:rPr>
        <w:fldChar w:fldCharType="end"/>
      </w:r>
      <w:r w:rsidRPr="00D417F0">
        <w:rPr>
          <w:i/>
          <w:sz w:val="22"/>
          <w:szCs w:val="22"/>
          <w:u w:val="single"/>
          <w:lang w:eastAsia="zh-TW"/>
        </w:rPr>
        <w:t xml:space="preserve"> [name and address of the Applicant]</w:t>
      </w:r>
      <w:r w:rsidRPr="00D417F0">
        <w:rPr>
          <w:sz w:val="22"/>
          <w:szCs w:val="22"/>
          <w:u w:val="single"/>
          <w:lang w:eastAsia="zh-TW"/>
        </w:rPr>
        <w:t>,</w:t>
      </w:r>
      <w:r w:rsidRPr="00D417F0">
        <w:rPr>
          <w:sz w:val="22"/>
          <w:szCs w:val="22"/>
          <w:lang w:eastAsia="zh-TW"/>
        </w:rPr>
        <w:t xml:space="preserve"> have read and agreed to the Terms and Conditions of “Trial Scheme for Expedited Approval of Class II/III/IV </w:t>
      </w:r>
      <w:r w:rsidR="00011F65">
        <w:rPr>
          <w:sz w:val="22"/>
          <w:szCs w:val="22"/>
          <w:lang w:eastAsia="zh-TW"/>
        </w:rPr>
        <w:t xml:space="preserve">General </w:t>
      </w:r>
      <w:r w:rsidRPr="00D417F0">
        <w:rPr>
          <w:sz w:val="22"/>
          <w:szCs w:val="22"/>
          <w:lang w:eastAsia="zh-TW"/>
        </w:rPr>
        <w:t xml:space="preserve">Medical Device Listing Applications” and have also read related documents issued by the Medical Device </w:t>
      </w:r>
      <w:r w:rsidR="00FD0624">
        <w:rPr>
          <w:sz w:val="22"/>
          <w:szCs w:val="22"/>
          <w:lang w:eastAsia="zh-TW"/>
        </w:rPr>
        <w:t>Division</w:t>
      </w:r>
      <w:r w:rsidRPr="00D417F0">
        <w:rPr>
          <w:sz w:val="22"/>
          <w:szCs w:val="22"/>
          <w:lang w:eastAsia="zh-TW"/>
        </w:rPr>
        <w:t xml:space="preserve"> (MD</w:t>
      </w:r>
      <w:r w:rsidR="00FD0624">
        <w:rPr>
          <w:sz w:val="22"/>
          <w:szCs w:val="22"/>
          <w:lang w:eastAsia="zh-TW"/>
        </w:rPr>
        <w:t>D</w:t>
      </w:r>
      <w:bookmarkStart w:id="0" w:name="_GoBack"/>
      <w:bookmarkEnd w:id="0"/>
      <w:r w:rsidRPr="00D417F0">
        <w:rPr>
          <w:sz w:val="22"/>
          <w:szCs w:val="22"/>
          <w:lang w:eastAsia="zh-TW"/>
        </w:rPr>
        <w:t xml:space="preserve">). </w:t>
      </w:r>
    </w:p>
    <w:p w:rsidR="00D417F0" w:rsidRPr="00D1385E" w:rsidRDefault="00D417F0" w:rsidP="00D417F0">
      <w:pPr>
        <w:numPr>
          <w:ilvl w:val="0"/>
          <w:numId w:val="1"/>
        </w:numPr>
        <w:spacing w:line="240" w:lineRule="atLeast"/>
        <w:rPr>
          <w:sz w:val="22"/>
          <w:szCs w:val="22"/>
          <w:lang w:eastAsia="zh-TW"/>
        </w:rPr>
      </w:pPr>
      <w:r>
        <w:rPr>
          <w:rFonts w:hint="eastAsia"/>
          <w:sz w:val="22"/>
          <w:szCs w:val="22"/>
          <w:lang w:eastAsia="zh-TW"/>
        </w:rPr>
        <w:t>We declare that</w:t>
      </w:r>
      <w:r>
        <w:rPr>
          <w:sz w:val="22"/>
          <w:szCs w:val="22"/>
          <w:lang w:eastAsia="zh-TW"/>
        </w:rPr>
        <w:t>, regarding the device in this application</w:t>
      </w:r>
      <w:r>
        <w:rPr>
          <w:rFonts w:hint="eastAsia"/>
          <w:sz w:val="22"/>
          <w:szCs w:val="22"/>
          <w:lang w:eastAsia="zh-TW"/>
        </w:rPr>
        <w:t>:</w:t>
      </w:r>
      <w:r>
        <w:rPr>
          <w:sz w:val="22"/>
          <w:szCs w:val="22"/>
          <w:lang w:eastAsia="zh-TW"/>
        </w:rPr>
        <w:t xml:space="preserve"> </w:t>
      </w:r>
    </w:p>
    <w:p w:rsidR="00D417F0" w:rsidRDefault="00D417F0" w:rsidP="00D417F0">
      <w:pPr>
        <w:numPr>
          <w:ilvl w:val="0"/>
          <w:numId w:val="2"/>
        </w:numPr>
        <w:spacing w:line="240" w:lineRule="atLeast"/>
        <w:rPr>
          <w:sz w:val="22"/>
          <w:szCs w:val="22"/>
          <w:lang w:eastAsia="zh-TW"/>
        </w:rPr>
      </w:pPr>
      <w:r>
        <w:rPr>
          <w:sz w:val="22"/>
          <w:szCs w:val="22"/>
          <w:lang w:eastAsia="zh-TW"/>
        </w:rPr>
        <w:t>There are no reported deaths</w:t>
      </w:r>
      <w:r>
        <w:rPr>
          <w:sz w:val="22"/>
          <w:lang w:eastAsia="zh-HK"/>
        </w:rPr>
        <w:t xml:space="preserve"> or serious injury </w:t>
      </w:r>
      <w:r w:rsidR="00752AA0">
        <w:rPr>
          <w:sz w:val="22"/>
          <w:lang w:eastAsia="zh-HK"/>
        </w:rPr>
        <w:t>(local and worldwide)</w:t>
      </w:r>
    </w:p>
    <w:p w:rsidR="00D417F0" w:rsidRPr="009C4266" w:rsidRDefault="00D417F0" w:rsidP="00D417F0">
      <w:pPr>
        <w:numPr>
          <w:ilvl w:val="0"/>
          <w:numId w:val="2"/>
        </w:numPr>
        <w:spacing w:line="240" w:lineRule="atLeast"/>
        <w:rPr>
          <w:sz w:val="22"/>
          <w:szCs w:val="22"/>
          <w:lang w:eastAsia="zh-TW"/>
        </w:rPr>
      </w:pPr>
      <w:r>
        <w:rPr>
          <w:rFonts w:hint="eastAsia"/>
          <w:sz w:val="22"/>
          <w:szCs w:val="22"/>
          <w:lang w:eastAsia="zh-TW"/>
        </w:rPr>
        <w:t>The</w:t>
      </w:r>
      <w:r>
        <w:rPr>
          <w:sz w:val="22"/>
          <w:szCs w:val="22"/>
          <w:lang w:eastAsia="zh-TW"/>
        </w:rPr>
        <w:t xml:space="preserve">re are no active recalls, field safety corrective actions or adverse incidents (local and worldwide) </w:t>
      </w:r>
    </w:p>
    <w:p w:rsidR="00D417F0" w:rsidRPr="00610EFF" w:rsidRDefault="00D417F0" w:rsidP="00D417F0">
      <w:pPr>
        <w:numPr>
          <w:ilvl w:val="0"/>
          <w:numId w:val="1"/>
        </w:numPr>
        <w:spacing w:line="240" w:lineRule="atLeast"/>
        <w:rPr>
          <w:sz w:val="22"/>
          <w:szCs w:val="22"/>
          <w:lang w:eastAsia="zh-TW"/>
        </w:rPr>
      </w:pPr>
      <w:r w:rsidRPr="00610EFF">
        <w:rPr>
          <w:sz w:val="22"/>
          <w:szCs w:val="22"/>
          <w:lang w:eastAsia="zh-TW"/>
        </w:rPr>
        <w:t>We</w:t>
      </w:r>
      <w:r w:rsidRPr="00610EFF">
        <w:rPr>
          <w:sz w:val="22"/>
          <w:szCs w:val="22"/>
        </w:rPr>
        <w:t xml:space="preserve"> fully understand and agree that any future changes or additions to the requirements of the Medical Device Administrative Control System (MDACS) can be imposed by the Department of Health without prior notice. </w:t>
      </w:r>
      <w:r w:rsidRPr="00610EFF">
        <w:rPr>
          <w:sz w:val="22"/>
          <w:szCs w:val="22"/>
          <w:lang w:eastAsia="zh-TW"/>
        </w:rPr>
        <w:t>We</w:t>
      </w:r>
      <w:r w:rsidRPr="00610EFF">
        <w:rPr>
          <w:sz w:val="22"/>
          <w:szCs w:val="22"/>
        </w:rPr>
        <w:t xml:space="preserve"> hereby undertake to comply with the latest requirements o</w:t>
      </w:r>
      <w:r>
        <w:rPr>
          <w:sz w:val="22"/>
          <w:szCs w:val="22"/>
        </w:rPr>
        <w:t xml:space="preserve">f the MDACS that are in force. </w:t>
      </w:r>
    </w:p>
    <w:p w:rsidR="00D417F0" w:rsidRDefault="00D417F0" w:rsidP="00D417F0">
      <w:pPr>
        <w:numPr>
          <w:ilvl w:val="0"/>
          <w:numId w:val="1"/>
        </w:numPr>
        <w:spacing w:line="240" w:lineRule="atLeast"/>
        <w:rPr>
          <w:sz w:val="22"/>
          <w:szCs w:val="22"/>
        </w:rPr>
      </w:pPr>
      <w:r w:rsidRPr="00610EFF">
        <w:rPr>
          <w:sz w:val="22"/>
          <w:szCs w:val="22"/>
          <w:lang w:eastAsia="zh-TW"/>
        </w:rPr>
        <w:t>We</w:t>
      </w:r>
      <w:r w:rsidRPr="00610EFF">
        <w:rPr>
          <w:sz w:val="22"/>
          <w:szCs w:val="22"/>
        </w:rPr>
        <w:t xml:space="preserve"> confirm that </w:t>
      </w:r>
      <w:r w:rsidRPr="00610EFF">
        <w:rPr>
          <w:sz w:val="22"/>
          <w:szCs w:val="22"/>
          <w:lang w:eastAsia="zh-TW"/>
        </w:rPr>
        <w:t>we</w:t>
      </w:r>
      <w:r w:rsidRPr="00610EFF">
        <w:rPr>
          <w:sz w:val="22"/>
          <w:szCs w:val="22"/>
        </w:rPr>
        <w:t xml:space="preserve"> have neither amended </w:t>
      </w:r>
      <w:r w:rsidRPr="00610EFF">
        <w:rPr>
          <w:sz w:val="22"/>
          <w:szCs w:val="22"/>
          <w:lang w:eastAsia="zh-TW"/>
        </w:rPr>
        <w:t>any</w:t>
      </w:r>
      <w:r w:rsidRPr="00610EFF">
        <w:rPr>
          <w:sz w:val="22"/>
          <w:szCs w:val="22"/>
        </w:rPr>
        <w:t xml:space="preserve"> wording in this form, nor otherwise altered the form in any material manner, apart from filling in the appropriate blanks / boxes. </w:t>
      </w:r>
    </w:p>
    <w:p w:rsidR="00D417F0" w:rsidRDefault="00D417F0" w:rsidP="00D417F0">
      <w:pPr>
        <w:spacing w:line="240" w:lineRule="atLeast"/>
        <w:rPr>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511"/>
      </w:tblGrid>
      <w:tr w:rsidR="00D417F0" w:rsidTr="008D3803">
        <w:trPr>
          <w:trHeight w:val="2678"/>
        </w:trPr>
        <w:tc>
          <w:tcPr>
            <w:tcW w:w="7083" w:type="dxa"/>
            <w:vMerge w:val="restart"/>
          </w:tcPr>
          <w:p w:rsidR="00D417F0" w:rsidRPr="000A6AD0" w:rsidRDefault="00D417F0" w:rsidP="008D3803">
            <w:pPr>
              <w:spacing w:beforeLines="100" w:before="360" w:line="276" w:lineRule="auto"/>
              <w:ind w:right="147"/>
              <w:rPr>
                <w:sz w:val="22"/>
                <w:szCs w:val="22"/>
                <w:u w:val="single"/>
                <w:lang w:eastAsia="zh-TW"/>
              </w:rPr>
            </w:pPr>
            <w:r w:rsidRPr="000A6AD0">
              <w:rPr>
                <w:sz w:val="22"/>
                <w:szCs w:val="22"/>
              </w:rPr>
              <w:t xml:space="preserve">Signature: </w:t>
            </w:r>
            <w:r w:rsidRPr="000A6AD0">
              <w:rPr>
                <w:sz w:val="22"/>
                <w:szCs w:val="22"/>
                <w:u w:val="single"/>
              </w:rPr>
              <w:tab/>
            </w:r>
            <w:r w:rsidRPr="000A6AD0">
              <w:rPr>
                <w:sz w:val="22"/>
                <w:szCs w:val="22"/>
                <w:u w:val="single"/>
              </w:rPr>
              <w:tab/>
            </w:r>
            <w:r w:rsidRPr="000A6AD0">
              <w:rPr>
                <w:sz w:val="22"/>
                <w:szCs w:val="22"/>
                <w:u w:val="single"/>
              </w:rPr>
              <w:tab/>
            </w:r>
            <w:r w:rsidRPr="000A6AD0">
              <w:rPr>
                <w:sz w:val="22"/>
                <w:szCs w:val="22"/>
                <w:u w:val="single"/>
              </w:rPr>
              <w:tab/>
            </w:r>
            <w:r w:rsidRPr="000A6AD0">
              <w:rPr>
                <w:sz w:val="22"/>
                <w:szCs w:val="22"/>
                <w:u w:val="single"/>
                <w:lang w:eastAsia="zh-TW"/>
              </w:rPr>
              <w:tab/>
            </w:r>
            <w:r w:rsidRPr="000A6AD0">
              <w:rPr>
                <w:sz w:val="22"/>
                <w:szCs w:val="22"/>
                <w:u w:val="single"/>
                <w:lang w:eastAsia="zh-TW"/>
              </w:rPr>
              <w:tab/>
            </w:r>
          </w:p>
          <w:p w:rsidR="00D417F0" w:rsidRPr="000A6AD0" w:rsidRDefault="00D417F0" w:rsidP="008D3803">
            <w:pPr>
              <w:spacing w:line="276" w:lineRule="auto"/>
              <w:ind w:right="146"/>
              <w:rPr>
                <w:sz w:val="22"/>
                <w:szCs w:val="22"/>
                <w:lang w:eastAsia="zh-TW"/>
              </w:rPr>
            </w:pPr>
            <w:r w:rsidRPr="000A6AD0">
              <w:rPr>
                <w:sz w:val="22"/>
                <w:szCs w:val="22"/>
              </w:rPr>
              <w:t xml:space="preserve">Name: </w:t>
            </w:r>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
          <w:p w:rsidR="00D417F0" w:rsidRPr="000A6AD0" w:rsidRDefault="00D417F0" w:rsidP="008D3803">
            <w:pPr>
              <w:spacing w:line="276" w:lineRule="auto"/>
              <w:ind w:right="146"/>
              <w:rPr>
                <w:sz w:val="22"/>
                <w:szCs w:val="22"/>
                <w:u w:val="single"/>
                <w:lang w:eastAsia="zh-TW"/>
              </w:rPr>
            </w:pPr>
            <w:r w:rsidRPr="000A6AD0">
              <w:rPr>
                <w:sz w:val="22"/>
                <w:szCs w:val="22"/>
              </w:rPr>
              <w:t xml:space="preserve">Position: </w:t>
            </w:r>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
          <w:p w:rsidR="00D417F0" w:rsidRPr="000A6AD0" w:rsidRDefault="00D417F0" w:rsidP="008D3803">
            <w:pPr>
              <w:spacing w:line="276" w:lineRule="auto"/>
              <w:ind w:right="146"/>
              <w:rPr>
                <w:sz w:val="22"/>
                <w:szCs w:val="22"/>
                <w:u w:val="single"/>
                <w:lang w:eastAsia="zh-TW"/>
              </w:rPr>
            </w:pPr>
            <w:r w:rsidRPr="000A6AD0">
              <w:rPr>
                <w:sz w:val="22"/>
                <w:szCs w:val="22"/>
                <w:lang w:eastAsia="zh-TW"/>
              </w:rPr>
              <w:t xml:space="preserve">Contact telephone number: </w:t>
            </w:r>
            <w:r w:rsidRPr="00E50779">
              <w:rPr>
                <w:rFonts w:ascii="Arial" w:hAnsi="Arial" w:cs="Arial"/>
                <w:sz w:val="22"/>
                <w:szCs w:val="22"/>
                <w:u w:val="single"/>
                <w:lang w:eastAsia="zh-TW"/>
              </w:rPr>
              <w:fldChar w:fldCharType="begin">
                <w:ffData>
                  <w:name w:val=""/>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
          <w:p w:rsidR="00D417F0" w:rsidRDefault="00D417F0" w:rsidP="008D3803">
            <w:pPr>
              <w:spacing w:line="276" w:lineRule="auto"/>
              <w:ind w:right="146"/>
              <w:rPr>
                <w:i/>
                <w:sz w:val="22"/>
                <w:szCs w:val="22"/>
                <w:lang w:eastAsia="zh-TW"/>
              </w:rPr>
            </w:pPr>
            <w:r w:rsidRPr="000A6AD0">
              <w:rPr>
                <w:sz w:val="22"/>
                <w:szCs w:val="22"/>
                <w:lang w:eastAsia="zh-TW"/>
              </w:rPr>
              <w:t>The Applicant</w:t>
            </w:r>
            <w:r w:rsidRPr="000A6AD0" w:rsidDel="00A22CB3">
              <w:rPr>
                <w:sz w:val="22"/>
                <w:szCs w:val="22"/>
              </w:rPr>
              <w:t xml:space="preserve"> </w:t>
            </w:r>
            <w:r w:rsidRPr="000A6AD0">
              <w:rPr>
                <w:sz w:val="22"/>
                <w:szCs w:val="22"/>
                <w:lang w:eastAsia="zh-TW"/>
              </w:rPr>
              <w:t>(</w:t>
            </w:r>
            <w:r w:rsidRPr="000A6AD0">
              <w:rPr>
                <w:sz w:val="22"/>
                <w:szCs w:val="22"/>
              </w:rPr>
              <w:t>Local Responsible Person</w:t>
            </w:r>
            <w:r w:rsidRPr="000A6AD0">
              <w:rPr>
                <w:sz w:val="22"/>
                <w:szCs w:val="22"/>
                <w:lang w:eastAsia="zh-TW"/>
              </w:rPr>
              <w:t>)</w:t>
            </w:r>
            <w:r w:rsidRPr="000A6AD0">
              <w:rPr>
                <w:sz w:val="22"/>
                <w:szCs w:val="22"/>
              </w:rPr>
              <w:t>:</w:t>
            </w:r>
            <w:r>
              <w:rPr>
                <w:sz w:val="22"/>
                <w:szCs w:val="22"/>
                <w:lang w:eastAsia="zh-TW"/>
              </w:rPr>
              <w:t xml:space="preserve"> </w:t>
            </w:r>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
          <w:p w:rsidR="00D417F0" w:rsidRDefault="00D417F0" w:rsidP="008D3803">
            <w:pPr>
              <w:spacing w:line="276" w:lineRule="auto"/>
              <w:ind w:right="146"/>
              <w:rPr>
                <w:i/>
                <w:sz w:val="22"/>
                <w:szCs w:val="22"/>
                <w:lang w:eastAsia="zh-TW"/>
              </w:rPr>
            </w:pPr>
            <w:r w:rsidRPr="000A6AD0">
              <w:rPr>
                <w:sz w:val="22"/>
                <w:szCs w:val="22"/>
              </w:rPr>
              <w:t>L</w:t>
            </w:r>
            <w:r>
              <w:rPr>
                <w:sz w:val="22"/>
                <w:szCs w:val="22"/>
              </w:rPr>
              <w:t>RP</w:t>
            </w:r>
            <w:r>
              <w:rPr>
                <w:sz w:val="22"/>
                <w:szCs w:val="22"/>
                <w:lang w:eastAsia="zh-TW"/>
              </w:rPr>
              <w:t xml:space="preserve"> Listing Number</w:t>
            </w:r>
            <w:r w:rsidRPr="000A6AD0">
              <w:rPr>
                <w:sz w:val="22"/>
                <w:szCs w:val="22"/>
              </w:rPr>
              <w:t>:</w:t>
            </w:r>
            <w:r>
              <w:rPr>
                <w:sz w:val="22"/>
                <w:szCs w:val="22"/>
                <w:lang w:eastAsia="zh-TW"/>
              </w:rPr>
              <w:t xml:space="preserve"> </w:t>
            </w:r>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
          <w:p w:rsidR="00D417F0" w:rsidRDefault="00D417F0" w:rsidP="008D3803">
            <w:pPr>
              <w:spacing w:line="240" w:lineRule="atLeast"/>
              <w:rPr>
                <w:sz w:val="22"/>
                <w:szCs w:val="22"/>
              </w:rPr>
            </w:pPr>
            <w:r w:rsidRPr="00447E07">
              <w:rPr>
                <w:sz w:val="22"/>
                <w:szCs w:val="22"/>
              </w:rPr>
              <w:t>Date:</w:t>
            </w:r>
            <w:r w:rsidRPr="00447E07">
              <w:rPr>
                <w:rFonts w:ascii="Arial" w:hAnsi="Arial" w:cs="Arial"/>
                <w:sz w:val="22"/>
                <w:szCs w:val="22"/>
                <w:lang w:eastAsia="zh-TW"/>
              </w:rPr>
              <w:t xml:space="preserve"> </w:t>
            </w:r>
            <w:r w:rsidRPr="00447E07">
              <w:rPr>
                <w:rFonts w:ascii="Arial" w:hAnsi="Arial" w:cs="Arial"/>
                <w:b/>
                <w:sz w:val="22"/>
                <w:szCs w:val="22"/>
                <w:u w:val="single"/>
                <w:lang w:eastAsia="zh-TW"/>
              </w:rPr>
              <w:fldChar w:fldCharType="begin">
                <w:ffData>
                  <w:name w:val="Text1"/>
                  <w:enabled/>
                  <w:calcOnExit w:val="0"/>
                  <w:textInput/>
                </w:ffData>
              </w:fldChar>
            </w:r>
            <w:r w:rsidRPr="00447E07">
              <w:rPr>
                <w:rFonts w:ascii="Arial" w:hAnsi="Arial" w:cs="Arial"/>
                <w:sz w:val="22"/>
                <w:szCs w:val="22"/>
                <w:u w:val="single"/>
                <w:lang w:eastAsia="zh-TW"/>
              </w:rPr>
              <w:instrText xml:space="preserve"> FORMTEXT </w:instrText>
            </w:r>
            <w:r w:rsidRPr="00447E07">
              <w:rPr>
                <w:rFonts w:ascii="Arial" w:hAnsi="Arial" w:cs="Arial"/>
                <w:b/>
                <w:sz w:val="22"/>
                <w:szCs w:val="22"/>
                <w:u w:val="single"/>
                <w:lang w:eastAsia="zh-TW"/>
              </w:rPr>
            </w:r>
            <w:r w:rsidRPr="00447E07">
              <w:rPr>
                <w:rFonts w:ascii="Arial" w:hAnsi="Arial" w:cs="Arial"/>
                <w:b/>
                <w:sz w:val="22"/>
                <w:szCs w:val="22"/>
                <w:u w:val="single"/>
                <w:lang w:eastAsia="zh-TW"/>
              </w:rPr>
              <w:fldChar w:fldCharType="separate"/>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b/>
                <w:sz w:val="22"/>
                <w:szCs w:val="22"/>
                <w:u w:val="single"/>
                <w:lang w:eastAsia="zh-TW"/>
              </w:rPr>
              <w:fldChar w:fldCharType="end"/>
            </w:r>
          </w:p>
        </w:tc>
        <w:tc>
          <w:tcPr>
            <w:tcW w:w="2511" w:type="dxa"/>
          </w:tcPr>
          <w:p w:rsidR="00D417F0" w:rsidRDefault="00D417F0" w:rsidP="008D3803">
            <w:pPr>
              <w:spacing w:line="240" w:lineRule="atLeast"/>
              <w:rPr>
                <w:sz w:val="22"/>
                <w:szCs w:val="22"/>
              </w:rPr>
            </w:pPr>
          </w:p>
        </w:tc>
      </w:tr>
      <w:tr w:rsidR="00D417F0" w:rsidTr="008D3803">
        <w:trPr>
          <w:trHeight w:val="431"/>
        </w:trPr>
        <w:tc>
          <w:tcPr>
            <w:tcW w:w="7083" w:type="dxa"/>
            <w:vMerge/>
          </w:tcPr>
          <w:p w:rsidR="00D417F0" w:rsidRDefault="00D417F0" w:rsidP="008D3803">
            <w:pPr>
              <w:spacing w:line="240" w:lineRule="atLeast"/>
              <w:rPr>
                <w:sz w:val="22"/>
                <w:szCs w:val="22"/>
              </w:rPr>
            </w:pPr>
          </w:p>
        </w:tc>
        <w:tc>
          <w:tcPr>
            <w:tcW w:w="2511" w:type="dxa"/>
          </w:tcPr>
          <w:p w:rsidR="00D417F0" w:rsidRDefault="00D417F0" w:rsidP="008D3803">
            <w:pPr>
              <w:spacing w:line="240" w:lineRule="atLeast"/>
              <w:jc w:val="center"/>
              <w:rPr>
                <w:sz w:val="22"/>
                <w:szCs w:val="22"/>
              </w:rPr>
            </w:pPr>
            <w:r>
              <w:rPr>
                <w:sz w:val="22"/>
                <w:szCs w:val="22"/>
                <w:lang w:eastAsia="zh-TW"/>
              </w:rPr>
              <w:t>(</w:t>
            </w:r>
            <w:r w:rsidRPr="000A6AD0">
              <w:rPr>
                <w:sz w:val="22"/>
                <w:szCs w:val="22"/>
                <w:lang w:eastAsia="zh-TW"/>
              </w:rPr>
              <w:t>Company Chop</w:t>
            </w:r>
            <w:r>
              <w:rPr>
                <w:sz w:val="22"/>
                <w:szCs w:val="22"/>
                <w:lang w:eastAsia="zh-TW"/>
              </w:rPr>
              <w:t>)</w:t>
            </w:r>
          </w:p>
        </w:tc>
      </w:tr>
    </w:tbl>
    <w:p w:rsidR="0026081C" w:rsidRDefault="0026081C"/>
    <w:sectPr w:rsidR="0026081C" w:rsidSect="00D417F0">
      <w:pgSz w:w="11906" w:h="16838"/>
      <w:pgMar w:top="992" w:right="1151" w:bottom="1276" w:left="11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780" w:rsidRDefault="00FE7780" w:rsidP="00752AA0">
      <w:pPr>
        <w:spacing w:line="240" w:lineRule="auto"/>
      </w:pPr>
      <w:r>
        <w:separator/>
      </w:r>
    </w:p>
  </w:endnote>
  <w:endnote w:type="continuationSeparator" w:id="0">
    <w:p w:rsidR="00FE7780" w:rsidRDefault="00FE7780" w:rsidP="00752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780" w:rsidRDefault="00FE7780" w:rsidP="00752AA0">
      <w:pPr>
        <w:spacing w:line="240" w:lineRule="auto"/>
      </w:pPr>
      <w:r>
        <w:separator/>
      </w:r>
    </w:p>
  </w:footnote>
  <w:footnote w:type="continuationSeparator" w:id="0">
    <w:p w:rsidR="00FE7780" w:rsidRDefault="00FE7780" w:rsidP="00752A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56602"/>
    <w:multiLevelType w:val="hybridMultilevel"/>
    <w:tmpl w:val="30DE2C7E"/>
    <w:lvl w:ilvl="0" w:tplc="C2442A0A">
      <w:start w:val="1"/>
      <w:numFmt w:val="lowerLetter"/>
      <w:lvlText w:val="%1."/>
      <w:lvlJc w:val="left"/>
      <w:pPr>
        <w:tabs>
          <w:tab w:val="num" w:pos="960"/>
        </w:tabs>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4610B7"/>
    <w:multiLevelType w:val="hybridMultilevel"/>
    <w:tmpl w:val="48983CB2"/>
    <w:lvl w:ilvl="0" w:tplc="0409000F">
      <w:start w:val="1"/>
      <w:numFmt w:val="decimal"/>
      <w:lvlText w:val="%1."/>
      <w:lvlJc w:val="left"/>
      <w:pPr>
        <w:tabs>
          <w:tab w:val="num" w:pos="480"/>
        </w:tabs>
        <w:ind w:left="480" w:hanging="480"/>
      </w:pPr>
    </w:lvl>
    <w:lvl w:ilvl="1" w:tplc="C2442A0A">
      <w:start w:val="1"/>
      <w:numFmt w:val="lowerLetter"/>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F0"/>
    <w:rsid w:val="00011F65"/>
    <w:rsid w:val="0026081C"/>
    <w:rsid w:val="00752AA0"/>
    <w:rsid w:val="009575AA"/>
    <w:rsid w:val="009C7C3A"/>
    <w:rsid w:val="00D417F0"/>
    <w:rsid w:val="00E1078B"/>
    <w:rsid w:val="00FD0624"/>
    <w:rsid w:val="00FE77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2B3A5"/>
  <w15:chartTrackingRefBased/>
  <w15:docId w15:val="{F9EE1B86-DBC6-4C06-82E2-A85A6CA8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7F0"/>
    <w:pPr>
      <w:overflowPunct w:val="0"/>
      <w:autoSpaceDE w:val="0"/>
      <w:autoSpaceDN w:val="0"/>
      <w:adjustRightInd w:val="0"/>
      <w:spacing w:line="360" w:lineRule="auto"/>
      <w:jc w:val="both"/>
      <w:textAlignment w:val="baseline"/>
    </w:pPr>
    <w:rPr>
      <w:rFonts w:ascii="Times New Roman" w:eastAsia="新細明體" w:hAnsi="Times New Roman" w:cs="Times New Roman"/>
      <w:kern w:val="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17F0"/>
    <w:pPr>
      <w:overflowPunct w:val="0"/>
      <w:autoSpaceDE w:val="0"/>
      <w:autoSpaceDN w:val="0"/>
      <w:adjustRightInd w:val="0"/>
      <w:spacing w:line="360" w:lineRule="auto"/>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17F0"/>
    <w:pPr>
      <w:ind w:leftChars="200" w:left="480"/>
    </w:pPr>
  </w:style>
  <w:style w:type="paragraph" w:styleId="a5">
    <w:name w:val="header"/>
    <w:basedOn w:val="a"/>
    <w:link w:val="a6"/>
    <w:uiPriority w:val="99"/>
    <w:unhideWhenUsed/>
    <w:rsid w:val="00752AA0"/>
    <w:pPr>
      <w:tabs>
        <w:tab w:val="center" w:pos="4153"/>
        <w:tab w:val="right" w:pos="8306"/>
      </w:tabs>
      <w:snapToGrid w:val="0"/>
    </w:pPr>
    <w:rPr>
      <w:sz w:val="20"/>
    </w:rPr>
  </w:style>
  <w:style w:type="character" w:customStyle="1" w:styleId="a6">
    <w:name w:val="頁首 字元"/>
    <w:basedOn w:val="a0"/>
    <w:link w:val="a5"/>
    <w:uiPriority w:val="99"/>
    <w:rsid w:val="00752AA0"/>
    <w:rPr>
      <w:rFonts w:ascii="Times New Roman" w:eastAsia="新細明體" w:hAnsi="Times New Roman" w:cs="Times New Roman"/>
      <w:kern w:val="0"/>
      <w:sz w:val="20"/>
      <w:szCs w:val="20"/>
      <w:lang w:val="en-GB" w:eastAsia="en-US"/>
    </w:rPr>
  </w:style>
  <w:style w:type="paragraph" w:styleId="a7">
    <w:name w:val="footer"/>
    <w:basedOn w:val="a"/>
    <w:link w:val="a8"/>
    <w:uiPriority w:val="99"/>
    <w:unhideWhenUsed/>
    <w:rsid w:val="00752AA0"/>
    <w:pPr>
      <w:tabs>
        <w:tab w:val="center" w:pos="4153"/>
        <w:tab w:val="right" w:pos="8306"/>
      </w:tabs>
      <w:snapToGrid w:val="0"/>
    </w:pPr>
    <w:rPr>
      <w:sz w:val="20"/>
    </w:rPr>
  </w:style>
  <w:style w:type="character" w:customStyle="1" w:styleId="a8">
    <w:name w:val="頁尾 字元"/>
    <w:basedOn w:val="a0"/>
    <w:link w:val="a7"/>
    <w:uiPriority w:val="99"/>
    <w:rsid w:val="00752AA0"/>
    <w:rPr>
      <w:rFonts w:ascii="Times New Roman" w:eastAsia="新細明體"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Tak WONG</dc:creator>
  <cp:keywords/>
  <dc:description/>
  <cp:lastModifiedBy>Yan Tak WONG</cp:lastModifiedBy>
  <cp:revision>6</cp:revision>
  <dcterms:created xsi:type="dcterms:W3CDTF">2019-02-13T03:55:00Z</dcterms:created>
  <dcterms:modified xsi:type="dcterms:W3CDTF">2020-06-26T08:36:00Z</dcterms:modified>
</cp:coreProperties>
</file>